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A1" w:rsidRDefault="000B6FD5">
      <w:pPr>
        <w:pStyle w:val="30"/>
        <w:framePr w:w="9475" w:h="14353" w:hRule="exact" w:wrap="none" w:vAnchor="page" w:hAnchor="page" w:x="1688" w:y="1083"/>
        <w:shd w:val="clear" w:color="auto" w:fill="auto"/>
      </w:pPr>
      <w:proofErr w:type="spellStart"/>
      <w:r>
        <w:t>Обгрунтування</w:t>
      </w:r>
      <w:proofErr w:type="spellEnd"/>
      <w:r>
        <w:t xml:space="preserve"> технічних та якісних характеристик, розміру</w:t>
      </w:r>
      <w:r>
        <w:br/>
      </w:r>
      <w:r w:rsidRPr="00B06E1C">
        <w:rPr>
          <w:rStyle w:val="31"/>
          <w:b/>
        </w:rPr>
        <w:t>бюджетного</w:t>
      </w:r>
      <w:r>
        <w:rPr>
          <w:rStyle w:val="31"/>
        </w:rPr>
        <w:t xml:space="preserve"> </w:t>
      </w:r>
      <w:r>
        <w:t>призначення, очікуваної вартості послуг з підключення</w:t>
      </w:r>
      <w:r>
        <w:br/>
        <w:t>закладів соціальної інфраструктури до широкосмугового доступу до</w:t>
      </w:r>
      <w:r>
        <w:br/>
        <w:t>Інтернету та обґрунтування закупівлі</w:t>
      </w:r>
    </w:p>
    <w:p w:rsidR="00414DA1" w:rsidRDefault="000B6FD5">
      <w:pPr>
        <w:pStyle w:val="20"/>
        <w:framePr w:w="9475" w:h="14353" w:hRule="exact" w:wrap="none" w:vAnchor="page" w:hAnchor="page" w:x="1688" w:y="1083"/>
        <w:shd w:val="clear" w:color="auto" w:fill="auto"/>
        <w:spacing w:before="0" w:after="252"/>
        <w:ind w:firstLine="940"/>
      </w:pPr>
      <w:r>
        <w:t>На виконання постанови Кабінету Міністрів України від 16.12.2020 року № 1266 "Про внесення змін до постанов Кабінету Міністрів України від 1 серпня 2013 р. № 631 і від 11 жовтня 2016 р. № 710" надається обґрунтування технічних і якісних характеристик предмета закупівлі, його очікуваної вартості та/або розміру бюджетного призначення.</w:t>
      </w:r>
    </w:p>
    <w:p w:rsidR="00414DA1" w:rsidRDefault="000B6FD5">
      <w:pPr>
        <w:pStyle w:val="30"/>
        <w:framePr w:w="9475" w:h="14353" w:hRule="exact" w:wrap="none" w:vAnchor="page" w:hAnchor="page" w:x="1688" w:y="1083"/>
        <w:shd w:val="clear" w:color="auto" w:fill="auto"/>
        <w:spacing w:after="154" w:line="280" w:lineRule="exact"/>
        <w:jc w:val="both"/>
      </w:pPr>
      <w:r>
        <w:t>Обґрунтування закупівлі:</w:t>
      </w:r>
    </w:p>
    <w:p w:rsidR="00414DA1" w:rsidRDefault="00E62FA9">
      <w:pPr>
        <w:pStyle w:val="20"/>
        <w:framePr w:w="9475" w:h="14353" w:hRule="exact" w:wrap="none" w:vAnchor="page" w:hAnchor="page" w:x="1688" w:y="1083"/>
        <w:shd w:val="clear" w:color="auto" w:fill="auto"/>
        <w:spacing w:before="0" w:after="252"/>
        <w:ind w:firstLine="860"/>
      </w:pPr>
      <w:r>
        <w:t>Сосницька</w:t>
      </w:r>
      <w:r w:rsidR="000B6FD5">
        <w:t xml:space="preserve"> громада отримає ряд переваг від реалізації проекту. Наявність доступу до швидкісного Інтернету дасть змогу модернізувати освітні та медичні послуги (в т.ч. завдяки можливості підвищення кваліфікації медичних та освітніх працівників дистанційно), особливо в умовах карантину, надавати та отримувати </w:t>
      </w:r>
      <w:r w:rsidR="003D162F">
        <w:t xml:space="preserve">адміністративні </w:t>
      </w:r>
      <w:r w:rsidR="000B6FD5">
        <w:t xml:space="preserve">послуги он-лайн, </w:t>
      </w:r>
      <w:r w:rsidR="003D162F">
        <w:t>підвищити цифрову грамотність населення та</w:t>
      </w:r>
      <w:r w:rsidR="00636CBC">
        <w:t xml:space="preserve"> </w:t>
      </w:r>
      <w:r w:rsidR="000B6FD5">
        <w:t>сприятиме підвищенню якості життя у сільській місцевості.</w:t>
      </w:r>
    </w:p>
    <w:p w:rsidR="00414DA1" w:rsidRDefault="000B6FD5">
      <w:pPr>
        <w:pStyle w:val="30"/>
        <w:framePr w:w="9475" w:h="14353" w:hRule="exact" w:wrap="none" w:vAnchor="page" w:hAnchor="page" w:x="1688" w:y="1083"/>
        <w:shd w:val="clear" w:color="auto" w:fill="auto"/>
        <w:spacing w:after="154" w:line="280" w:lineRule="exact"/>
        <w:jc w:val="both"/>
      </w:pPr>
      <w:r>
        <w:t xml:space="preserve">Ідентифікатор закупівлі: </w:t>
      </w:r>
      <w:r w:rsidR="00636CBC" w:rsidRPr="009C1E23">
        <w:rPr>
          <w:b w:val="0"/>
          <w:color w:val="auto"/>
          <w:shd w:val="clear" w:color="auto" w:fill="FFFFFF"/>
        </w:rPr>
        <w:t>UA-2021-08-25-008273-a</w:t>
      </w:r>
    </w:p>
    <w:p w:rsidR="00414DA1" w:rsidRDefault="000B6FD5">
      <w:pPr>
        <w:pStyle w:val="20"/>
        <w:framePr w:w="9475" w:h="14353" w:hRule="exact" w:wrap="none" w:vAnchor="page" w:hAnchor="page" w:x="1688" w:y="1083"/>
        <w:shd w:val="clear" w:color="auto" w:fill="auto"/>
        <w:spacing w:before="0" w:after="0"/>
      </w:pPr>
      <w:r>
        <w:rPr>
          <w:rStyle w:val="21"/>
        </w:rPr>
        <w:t xml:space="preserve">Предмет закупівлі: </w:t>
      </w:r>
      <w:r>
        <w:t>код ДК 021:2015: 72410000-7 Послуги провайдерів Послуги з підключення закладів соціальної інфраструктури до широкосмугового доступу до Інтернету Лот № 1 - ДК 021:2015 72410000-7 Послуги провайдерів (Послуги з підключення закладів соціальної інфраструктури до широкосмугового доступу до Інтернету); Лот № 2 - ДК 021:2015 72410000-7 Послуги провайдерів (Послуги з підключення закладів соціальної інфраструктури до широкосмугового доступу до Інтернету); Лот № 3 - ДК 021:2015 72410000-7 Послуги провайдерів (Послуги з підключення закладів соціальної інфраструктури до широкосмугового доступу до Інтернету); Лот №4 - ДК 021:2015 724 І0000-7 Послуги провайдерів (Послуги з підключення закладів соціальної інфраструктури до широкосмугового доступу до Інтернету) Лот №5 - ДК 021:2015 72410000-7 Послуги провайдерів (Послуги з підключення закладів соціальної інфраструктури до широкосмугового доступу до Інтернету) Лот №6 - ДК 021:2015 72410000-7 Послуги провайдерів (Послуги з підключення закладів соціальної інфраструктури до широкосмугового доступу до Інтернету) Лот №7 - ДК 021:2015 72410000-7 Послуги провайдерів (Послуги з підключення закладів</w:t>
      </w:r>
    </w:p>
    <w:p w:rsidR="00414DA1" w:rsidRDefault="00414DA1">
      <w:pPr>
        <w:rPr>
          <w:sz w:val="2"/>
          <w:szCs w:val="2"/>
        </w:rPr>
        <w:sectPr w:rsidR="00414DA1">
          <w:pgSz w:w="11900" w:h="16840"/>
          <w:pgMar w:top="360" w:right="360" w:bottom="360" w:left="360" w:header="0" w:footer="3" w:gutter="0"/>
          <w:cols w:space="720"/>
          <w:noEndnote/>
          <w:docGrid w:linePitch="360"/>
        </w:sectPr>
      </w:pPr>
    </w:p>
    <w:p w:rsidR="00414DA1" w:rsidRDefault="000B6FD5" w:rsidP="009461D2">
      <w:pPr>
        <w:pStyle w:val="20"/>
        <w:framePr w:w="9446" w:h="15271" w:hRule="exact" w:wrap="none" w:vAnchor="page" w:hAnchor="page" w:x="1606" w:y="1111"/>
        <w:shd w:val="clear" w:color="auto" w:fill="auto"/>
        <w:spacing w:before="0" w:after="252"/>
      </w:pPr>
      <w:r>
        <w:lastRenderedPageBreak/>
        <w:t>соціальної інфраструктури до широкосмугового доступу до Інтернату) Лот №8 - ДК 021:2015 72410000-7 Послуги провайдерів (Послуги з підключення закладів соціальної інфраструктури до широкосмугового доступу до Інтернету) Лот №9 - ДК 021:2015 72410000-7 Послуги провайдерів (Послуги з підключення закладів соціальної інфраструктури до широкосмугового доступу до Інтернету) Лот №10 - ДК 021:2015 72410000-7 Послуги провайдерів (Послуги з підключення закладів соціальної інфраструктури до широкосмугового доступу до Інтернету) Лот №11 - ДК 021:2015 72410000-7 Послуги провайдерів (Послуги з підключення закладів соціальної інфраструктури до широкосмугового доступу до Інтернету)</w:t>
      </w:r>
      <w:r w:rsidR="00FF0D6E">
        <w:t xml:space="preserve"> Лот №12 - ДК 021:2015 72410000-7 Послуги провайдерів (Послуги з підключення закладів соціальної інфраструктури до широкосмугового доступу до Інтернету) Лот №13 - ДК 021:2015 72410000-7 Послуги провайдерів (Послуги з підключення закладів соціальної інфраструктури до широкосмугового доступу до Інтернету) Лот №14 - ДК 021:2015 72410000-7 Послуги провайдерів (Послуги з підключення закладів соціальної інфраструктури до широкосмугового доступу до Інтернету) Лот №15 - ДК 021:2015 72410000-7 Послуги провайдерів (Послуги з підключення закладів соціальної інфраструктури до широкосмугового доступу до Інтернету)</w:t>
      </w:r>
      <w:r w:rsidR="00FF0D6E" w:rsidRPr="00FF0D6E">
        <w:t xml:space="preserve"> </w:t>
      </w:r>
      <w:r w:rsidR="00FF0D6E">
        <w:t>Лот №16 - ДК 021:2015 72410000-7 Послуги провайдерів (Послуги з підключення закладів соціальної інфраструктури до широкосмугового доступу до Інтернету)</w:t>
      </w:r>
    </w:p>
    <w:p w:rsidR="00414DA1" w:rsidRDefault="000B6FD5" w:rsidP="009461D2">
      <w:pPr>
        <w:pStyle w:val="20"/>
        <w:framePr w:w="9446" w:h="15271" w:hRule="exact" w:wrap="none" w:vAnchor="page" w:hAnchor="page" w:x="1606" w:y="1111"/>
        <w:shd w:val="clear" w:color="auto" w:fill="auto"/>
        <w:spacing w:before="0" w:after="149" w:line="280" w:lineRule="exact"/>
      </w:pPr>
      <w:r>
        <w:rPr>
          <w:rStyle w:val="21"/>
        </w:rPr>
        <w:t xml:space="preserve">Вид процедури: </w:t>
      </w:r>
      <w:r>
        <w:t>відкриті торги.</w:t>
      </w:r>
    </w:p>
    <w:p w:rsidR="00414DA1" w:rsidRDefault="000B6FD5" w:rsidP="009461D2">
      <w:pPr>
        <w:pStyle w:val="30"/>
        <w:framePr w:w="9446" w:h="15271" w:hRule="exact" w:wrap="none" w:vAnchor="page" w:hAnchor="page" w:x="1606" w:y="1111"/>
        <w:shd w:val="clear" w:color="auto" w:fill="auto"/>
        <w:spacing w:after="176" w:line="365" w:lineRule="exact"/>
        <w:jc w:val="left"/>
      </w:pPr>
      <w:proofErr w:type="spellStart"/>
      <w:r>
        <w:t>Обгрунтування</w:t>
      </w:r>
      <w:proofErr w:type="spellEnd"/>
      <w:r>
        <w:t xml:space="preserve"> очікуваної вартості та/або розміру бюджетного призначення:</w:t>
      </w:r>
    </w:p>
    <w:p w:rsidR="00414DA1" w:rsidRDefault="000B6FD5" w:rsidP="009461D2">
      <w:pPr>
        <w:pStyle w:val="20"/>
        <w:framePr w:w="9446" w:h="15271" w:hRule="exact" w:wrap="none" w:vAnchor="page" w:hAnchor="page" w:x="1606" w:y="1111"/>
        <w:shd w:val="clear" w:color="auto" w:fill="auto"/>
        <w:spacing w:before="0" w:after="252"/>
        <w:ind w:firstLine="820"/>
      </w:pPr>
      <w:r>
        <w:t>Розмір бюджетного призначення визначений з урахуванням вимог на виконання постанови Кабінету Міністрів України № 453 від 28.04 2021 року «Питання надання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та розпорядження Кабінету Міністрів України від 09.06.2021 № 622-р «Про розподіл у 2021 році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p>
    <w:p w:rsidR="00414DA1" w:rsidRDefault="000B6FD5" w:rsidP="009461D2">
      <w:pPr>
        <w:pStyle w:val="20"/>
        <w:framePr w:w="9446" w:h="15271" w:hRule="exact" w:wrap="none" w:vAnchor="page" w:hAnchor="page" w:x="1606" w:y="1111"/>
        <w:shd w:val="clear" w:color="auto" w:fill="auto"/>
        <w:spacing w:before="0" w:after="147" w:line="280" w:lineRule="exact"/>
      </w:pPr>
      <w:r>
        <w:t>Загальна очікувана вартість предмета закупівлі:</w:t>
      </w:r>
    </w:p>
    <w:p w:rsidR="00414DA1" w:rsidRDefault="006114E7" w:rsidP="009461D2">
      <w:pPr>
        <w:pStyle w:val="20"/>
        <w:framePr w:w="9446" w:h="15271" w:hRule="exact" w:wrap="none" w:vAnchor="page" w:hAnchor="page" w:x="1606" w:y="1111"/>
        <w:shd w:val="clear" w:color="auto" w:fill="auto"/>
        <w:spacing w:before="0" w:after="23" w:line="374" w:lineRule="exact"/>
        <w:jc w:val="left"/>
      </w:pPr>
      <w:r w:rsidRPr="006114E7">
        <w:rPr>
          <w:color w:val="auto"/>
          <w:lang w:eastAsia="ru-RU" w:bidi="ar-SA"/>
        </w:rPr>
        <w:t>2 800 471 грн. 00 коп. (два мільйони вісімсот тисяч чотириста сімдесят одна грн. 00 коп.), з</w:t>
      </w:r>
      <w:r w:rsidRPr="006114E7">
        <w:rPr>
          <w:color w:val="auto"/>
          <w:sz w:val="24"/>
          <w:szCs w:val="24"/>
          <w:lang w:eastAsia="ru-RU" w:bidi="ar-SA"/>
        </w:rPr>
        <w:t xml:space="preserve"> ПДВ</w:t>
      </w:r>
      <w:r w:rsidR="000B6FD5">
        <w:t>, з якої очікувана вартість предмета закупівлі за Лотами:</w:t>
      </w:r>
    </w:p>
    <w:p w:rsidR="00414DA1" w:rsidRDefault="00414DA1">
      <w:pPr>
        <w:rPr>
          <w:sz w:val="2"/>
          <w:szCs w:val="2"/>
        </w:rPr>
        <w:sectPr w:rsidR="00414DA1">
          <w:pgSz w:w="11900" w:h="16840"/>
          <w:pgMar w:top="360" w:right="360" w:bottom="360" w:left="360" w:header="0" w:footer="3" w:gutter="0"/>
          <w:cols w:space="720"/>
          <w:noEndnote/>
          <w:docGrid w:linePitch="360"/>
        </w:sectPr>
      </w:pP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lastRenderedPageBreak/>
        <w:t xml:space="preserve">Лот № 1 - </w:t>
      </w:r>
      <w:r w:rsidRPr="0091151F">
        <w:rPr>
          <w:rFonts w:ascii="Times New Roman" w:hAnsi="Times New Roman" w:cs="Times New Roman"/>
        </w:rPr>
        <w:t>122970</w:t>
      </w:r>
      <w:r w:rsidRPr="0091151F">
        <w:rPr>
          <w:rFonts w:ascii="Times New Roman" w:eastAsia="Times New Roman" w:hAnsi="Times New Roman" w:cs="Times New Roman"/>
        </w:rPr>
        <w:t xml:space="preserve"> грн. 00 коп. (сто двадцять дві тисячі дев’ятсот сімдесят грн. 00 коп.) з ПДВ</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2 - </w:t>
      </w:r>
      <w:r w:rsidRPr="0091151F">
        <w:rPr>
          <w:rFonts w:ascii="Times New Roman" w:hAnsi="Times New Roman" w:cs="Times New Roman"/>
        </w:rPr>
        <w:t>250000</w:t>
      </w:r>
      <w:r w:rsidRPr="0091151F">
        <w:rPr>
          <w:rFonts w:ascii="Times New Roman" w:eastAsia="Times New Roman" w:hAnsi="Times New Roman" w:cs="Times New Roman"/>
        </w:rPr>
        <w:t xml:space="preserve"> грн.00 коп. (двісті п’ятдесят тисяч грн. 00 коп.) з ПДВ.</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Лот № 3 - 175000 грн. 00 коп. (сто сімдесят п’ять тисяч грн. 00 коп.) з ПДВ</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Лот № 4 - 122970 грн.00 коп. (сто двадцять дві тисячі дев’ятсот сімдесят грн. 00 коп.) з ПДВ</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5 - </w:t>
      </w:r>
      <w:r w:rsidRPr="0091151F">
        <w:rPr>
          <w:rFonts w:ascii="Times New Roman" w:hAnsi="Times New Roman" w:cs="Times New Roman"/>
        </w:rPr>
        <w:t>118868</w:t>
      </w:r>
      <w:r w:rsidRPr="0091151F">
        <w:rPr>
          <w:rFonts w:ascii="Times New Roman" w:eastAsia="Times New Roman" w:hAnsi="Times New Roman" w:cs="Times New Roman"/>
        </w:rPr>
        <w:t xml:space="preserve"> грн.00 коп. (сто вісімнадцять тисяч вісімсот шістдесят вісім  грн. 00 коп.) з ПДВ </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Лот № 6 - 250000 грн.00 коп. (двісті п’ять тисяч грн. 00 коп.) з ПДВ</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Лот № 7 - 82990 грн.00 коп. (вісімдесят дві тисячі дев’ятсот дев’яносто  грн. 00 коп.) з ПДВ</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8 - 199040 грн.00 коп. (сто дев’яносто </w:t>
      </w:r>
      <w:proofErr w:type="spellStart"/>
      <w:r w:rsidRPr="0091151F">
        <w:rPr>
          <w:rFonts w:ascii="Times New Roman" w:eastAsia="Times New Roman" w:hAnsi="Times New Roman" w:cs="Times New Roman"/>
        </w:rPr>
        <w:t>дев</w:t>
      </w:r>
      <w:proofErr w:type="spellEnd"/>
      <w:r w:rsidRPr="0091151F">
        <w:rPr>
          <w:rFonts w:ascii="Times New Roman" w:eastAsia="Times New Roman" w:hAnsi="Times New Roman" w:cs="Times New Roman"/>
          <w:lang w:val="ru-RU"/>
        </w:rPr>
        <w:t>’</w:t>
      </w:r>
      <w:r w:rsidRPr="0091151F">
        <w:rPr>
          <w:rFonts w:ascii="Times New Roman" w:eastAsia="Times New Roman" w:hAnsi="Times New Roman" w:cs="Times New Roman"/>
        </w:rPr>
        <w:t>ять тисяч сорок грн. 00 коп.) з ПДВ</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Лот № 9 - 250000 грн.00 коп. (двісті п’ятдесят тисяч грн. 00 коп.) з ПДВ</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10 - </w:t>
      </w:r>
      <w:r w:rsidRPr="0091151F">
        <w:rPr>
          <w:rFonts w:ascii="Times New Roman" w:hAnsi="Times New Roman" w:cs="Times New Roman"/>
        </w:rPr>
        <w:t>211875</w:t>
      </w:r>
      <w:r w:rsidRPr="0091151F">
        <w:rPr>
          <w:rFonts w:ascii="Times New Roman" w:eastAsia="Times New Roman" w:hAnsi="Times New Roman" w:cs="Times New Roman"/>
        </w:rPr>
        <w:t xml:space="preserve"> грн.00 коп. (двісті одинадцять тисяч вісімсот сімдесят п’ять грн. 00 коп.) з ПДВ </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11 - </w:t>
      </w:r>
      <w:r w:rsidRPr="0091151F">
        <w:rPr>
          <w:rFonts w:ascii="Times New Roman" w:hAnsi="Times New Roman" w:cs="Times New Roman"/>
        </w:rPr>
        <w:t>118868</w:t>
      </w:r>
      <w:r w:rsidRPr="0091151F">
        <w:rPr>
          <w:rFonts w:ascii="Times New Roman" w:eastAsia="Times New Roman" w:hAnsi="Times New Roman" w:cs="Times New Roman"/>
        </w:rPr>
        <w:t xml:space="preserve"> грн.00 коп. (сто вісімнадцять тисяч вісімсот шістдесят вісім грн. 00 коп.) з ПДВ </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12 - </w:t>
      </w:r>
      <w:r w:rsidRPr="0091151F">
        <w:rPr>
          <w:rFonts w:ascii="Times New Roman" w:hAnsi="Times New Roman" w:cs="Times New Roman"/>
        </w:rPr>
        <w:t>250000</w:t>
      </w:r>
      <w:r w:rsidRPr="0091151F">
        <w:rPr>
          <w:rFonts w:ascii="Times New Roman" w:eastAsia="Times New Roman" w:hAnsi="Times New Roman" w:cs="Times New Roman"/>
        </w:rPr>
        <w:t xml:space="preserve"> грн.00 коп. (двісті п’ятдесят тисяч грн. 00 коп.) з ПДВ </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13 - 72610 грн.00 коп. (сімдесят дві тисячі шістсот десять грн. 00 коп.) з ПДВ </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14 - </w:t>
      </w:r>
      <w:r w:rsidRPr="0091151F">
        <w:rPr>
          <w:rFonts w:ascii="Times New Roman" w:hAnsi="Times New Roman" w:cs="Times New Roman"/>
        </w:rPr>
        <w:t>130700</w:t>
      </w:r>
      <w:r w:rsidRPr="0091151F">
        <w:rPr>
          <w:rFonts w:ascii="Times New Roman" w:eastAsia="Times New Roman" w:hAnsi="Times New Roman" w:cs="Times New Roman"/>
        </w:rPr>
        <w:t xml:space="preserve"> грн.00 коп. (сто трид</w:t>
      </w:r>
      <w:bookmarkStart w:id="0" w:name="_GoBack"/>
      <w:bookmarkEnd w:id="0"/>
      <w:r w:rsidRPr="0091151F">
        <w:rPr>
          <w:rFonts w:ascii="Times New Roman" w:eastAsia="Times New Roman" w:hAnsi="Times New Roman" w:cs="Times New Roman"/>
        </w:rPr>
        <w:t xml:space="preserve">цять тисяч сімсот грн. 00 коп.) з ПДВ </w:t>
      </w:r>
    </w:p>
    <w:p w:rsidR="006114E7" w:rsidRPr="0091151F" w:rsidRDefault="006114E7" w:rsidP="0091151F">
      <w:pPr>
        <w:framePr w:w="9616" w:h="15286" w:hRule="exact" w:wrap="none" w:vAnchor="page" w:hAnchor="page" w:x="1621" w:y="541"/>
        <w:rPr>
          <w:rFonts w:ascii="Times New Roman" w:eastAsia="Times New Roman" w:hAnsi="Times New Roman" w:cs="Times New Roman"/>
        </w:rPr>
      </w:pPr>
      <w:r w:rsidRPr="0091151F">
        <w:rPr>
          <w:rFonts w:ascii="Times New Roman" w:eastAsia="Times New Roman" w:hAnsi="Times New Roman" w:cs="Times New Roman"/>
        </w:rPr>
        <w:t xml:space="preserve">Лот № 15 - </w:t>
      </w:r>
      <w:r w:rsidRPr="0091151F">
        <w:rPr>
          <w:rFonts w:ascii="Times New Roman" w:hAnsi="Times New Roman" w:cs="Times New Roman"/>
        </w:rPr>
        <w:t>250000</w:t>
      </w:r>
      <w:r w:rsidRPr="0091151F">
        <w:rPr>
          <w:rFonts w:ascii="Times New Roman" w:eastAsia="Times New Roman" w:hAnsi="Times New Roman" w:cs="Times New Roman"/>
        </w:rPr>
        <w:t xml:space="preserve"> грн.00 коп. (двісті п’ятдесят тисяч грн. 00 коп.) з ПДВ </w:t>
      </w:r>
    </w:p>
    <w:p w:rsidR="006114E7" w:rsidRPr="006114E7" w:rsidRDefault="006114E7" w:rsidP="0091151F">
      <w:pPr>
        <w:framePr w:w="9616" w:h="15286" w:hRule="exact" w:wrap="none" w:vAnchor="page" w:hAnchor="page" w:x="1621" w:y="541"/>
        <w:rPr>
          <w:rFonts w:ascii="Times New Roman" w:eastAsia="Times New Roman" w:hAnsi="Times New Roman" w:cs="Times New Roman"/>
          <w:sz w:val="28"/>
          <w:szCs w:val="28"/>
        </w:rPr>
      </w:pPr>
      <w:r w:rsidRPr="0091151F">
        <w:rPr>
          <w:rFonts w:ascii="Times New Roman" w:eastAsia="Times New Roman" w:hAnsi="Times New Roman" w:cs="Times New Roman"/>
        </w:rPr>
        <w:t>Лот № 16 -  194580 грн.00 коп. (сто дев’яносто чотири тисячі п’ятсот вісімдесят грн. 00 коп.) з ПДВ</w:t>
      </w:r>
      <w:r w:rsidRPr="006114E7">
        <w:rPr>
          <w:rFonts w:ascii="Times New Roman" w:eastAsia="Times New Roman" w:hAnsi="Times New Roman" w:cs="Times New Roman"/>
          <w:sz w:val="28"/>
          <w:szCs w:val="28"/>
        </w:rPr>
        <w:t xml:space="preserve"> </w:t>
      </w:r>
    </w:p>
    <w:p w:rsidR="00414DA1" w:rsidRDefault="000B6FD5" w:rsidP="0091151F">
      <w:pPr>
        <w:pStyle w:val="20"/>
        <w:framePr w:w="9616" w:h="15286" w:hRule="exact" w:wrap="none" w:vAnchor="page" w:hAnchor="page" w:x="1621" w:y="541"/>
        <w:shd w:val="clear" w:color="auto" w:fill="auto"/>
        <w:spacing w:before="0" w:after="0" w:line="571" w:lineRule="exact"/>
        <w:jc w:val="center"/>
      </w:pPr>
      <w:r>
        <w:rPr>
          <w:rStyle w:val="21"/>
        </w:rPr>
        <w:t>Технічні та якісні характеристики предмета закупівлі:</w:t>
      </w:r>
    </w:p>
    <w:p w:rsidR="00414DA1" w:rsidRDefault="000B6FD5" w:rsidP="0091151F">
      <w:pPr>
        <w:pStyle w:val="20"/>
        <w:framePr w:w="9616" w:h="15286" w:hRule="exact" w:wrap="none" w:vAnchor="page" w:hAnchor="page" w:x="1621" w:y="541"/>
        <w:shd w:val="clear" w:color="auto" w:fill="auto"/>
        <w:spacing w:before="0" w:line="322" w:lineRule="exact"/>
        <w:ind w:firstLine="760"/>
      </w:pPr>
      <w:r>
        <w:t xml:space="preserve">Технічні, якісні та кількісні характеристики послуг з підключення до Інтернету відповідають вимогам п. 7 Порядку та умов надання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затвердженого постановою КМУ від 28.04.2021 </w:t>
      </w:r>
      <w:r>
        <w:rPr>
          <w:lang w:val="en-US" w:eastAsia="en-US" w:bidi="en-US"/>
        </w:rPr>
        <w:t xml:space="preserve">No </w:t>
      </w:r>
      <w:r>
        <w:t>453:</w:t>
      </w:r>
    </w:p>
    <w:p w:rsidR="00414DA1" w:rsidRDefault="000B6FD5" w:rsidP="0091151F">
      <w:pPr>
        <w:pStyle w:val="20"/>
        <w:framePr w:w="9616" w:h="15286" w:hRule="exact" w:wrap="none" w:vAnchor="page" w:hAnchor="page" w:x="1621" w:y="541"/>
        <w:numPr>
          <w:ilvl w:val="0"/>
          <w:numId w:val="1"/>
        </w:numPr>
        <w:shd w:val="clear" w:color="auto" w:fill="auto"/>
        <w:tabs>
          <w:tab w:val="left" w:pos="1313"/>
        </w:tabs>
        <w:spacing w:before="0" w:after="184" w:line="322" w:lineRule="exact"/>
        <w:ind w:firstLine="760"/>
      </w:pPr>
      <w:r>
        <w:t xml:space="preserve">на ділянках телекомунікаційної мережі оператора, що використовуються для надання послуг з підключення закладів соціальної інфраструктури до широкосмугового доступу до Інтернету, не допускається застосування </w:t>
      </w:r>
      <w:proofErr w:type="spellStart"/>
      <w:r>
        <w:t>радіотехнологій</w:t>
      </w:r>
      <w:proofErr w:type="spellEnd"/>
      <w:r>
        <w:t>;</w:t>
      </w:r>
    </w:p>
    <w:p w:rsidR="00414DA1" w:rsidRDefault="000B6FD5" w:rsidP="0091151F">
      <w:pPr>
        <w:pStyle w:val="20"/>
        <w:framePr w:w="9616" w:h="15286" w:hRule="exact" w:wrap="none" w:vAnchor="page" w:hAnchor="page" w:x="1621" w:y="541"/>
        <w:numPr>
          <w:ilvl w:val="0"/>
          <w:numId w:val="1"/>
        </w:numPr>
        <w:shd w:val="clear" w:color="auto" w:fill="auto"/>
        <w:tabs>
          <w:tab w:val="left" w:pos="1052"/>
        </w:tabs>
        <w:spacing w:before="0" w:after="176" w:line="317" w:lineRule="exact"/>
        <w:ind w:firstLine="760"/>
      </w:pPr>
      <w:r>
        <w:t>протягом перших 30 календарних днів доступ до Інтернету надається із швидкістю 500 Мбіт/с з дотриманням рівнів якості телекомунікаційних послуг. У подальшому доступ до Інтернету надається із швидкістю не менше 100 Мбіт/с;</w:t>
      </w:r>
    </w:p>
    <w:p w:rsidR="00414DA1" w:rsidRDefault="000B6FD5" w:rsidP="0091151F">
      <w:pPr>
        <w:pStyle w:val="20"/>
        <w:framePr w:w="9616" w:h="15286" w:hRule="exact" w:wrap="none" w:vAnchor="page" w:hAnchor="page" w:x="1621" w:y="541"/>
        <w:numPr>
          <w:ilvl w:val="0"/>
          <w:numId w:val="1"/>
        </w:numPr>
        <w:shd w:val="clear" w:color="auto" w:fill="auto"/>
        <w:tabs>
          <w:tab w:val="left" w:pos="1062"/>
        </w:tabs>
        <w:spacing w:before="0" w:line="322" w:lineRule="exact"/>
        <w:ind w:firstLine="760"/>
      </w:pPr>
      <w:r>
        <w:t>до 31 грудня 2022 р. послуга широкосмугового доступу до Інтернету надається без утримання оператором/провайдером телекомунікацій абонентської плати, яка включається у вартість підключення;</w:t>
      </w:r>
    </w:p>
    <w:p w:rsidR="00414DA1" w:rsidRDefault="000B6FD5" w:rsidP="0091151F">
      <w:pPr>
        <w:pStyle w:val="20"/>
        <w:framePr w:w="9616" w:h="15286" w:hRule="exact" w:wrap="none" w:vAnchor="page" w:hAnchor="page" w:x="1621" w:y="541"/>
        <w:numPr>
          <w:ilvl w:val="0"/>
          <w:numId w:val="1"/>
        </w:numPr>
        <w:shd w:val="clear" w:color="auto" w:fill="auto"/>
        <w:tabs>
          <w:tab w:val="left" w:pos="1157"/>
        </w:tabs>
        <w:spacing w:before="0" w:line="322" w:lineRule="exact"/>
        <w:ind w:firstLine="760"/>
      </w:pPr>
      <w:r>
        <w:t>умови надання послуги передбачають безлімітний доступ до Інтернету, що не обмежує обсяг передавання та приймання даних;</w:t>
      </w:r>
    </w:p>
    <w:p w:rsidR="00414DA1" w:rsidRDefault="000B6FD5" w:rsidP="0091151F">
      <w:pPr>
        <w:pStyle w:val="20"/>
        <w:framePr w:w="9616" w:h="15286" w:hRule="exact" w:wrap="none" w:vAnchor="page" w:hAnchor="page" w:x="1621" w:y="541"/>
        <w:numPr>
          <w:ilvl w:val="0"/>
          <w:numId w:val="1"/>
        </w:numPr>
        <w:shd w:val="clear" w:color="auto" w:fill="auto"/>
        <w:tabs>
          <w:tab w:val="left" w:pos="1052"/>
        </w:tabs>
        <w:spacing w:before="0" w:line="322" w:lineRule="exact"/>
        <w:ind w:firstLine="760"/>
      </w:pPr>
      <w:r>
        <w:t xml:space="preserve">оператор/провайдер телекомунікацій забезпечує статичну (постійну) </w:t>
      </w:r>
      <w:r>
        <w:rPr>
          <w:lang w:val="en-US" w:eastAsia="en-US" w:bidi="en-US"/>
        </w:rPr>
        <w:t>IP</w:t>
      </w:r>
      <w:r>
        <w:rPr>
          <w:lang w:val="ru-RU" w:eastAsia="ru-RU" w:bidi="ru-RU"/>
        </w:rPr>
        <w:t xml:space="preserve">-адресу </w:t>
      </w:r>
      <w:r>
        <w:t>кожному закладу соціальної інфраструктури;</w:t>
      </w:r>
    </w:p>
    <w:p w:rsidR="00414DA1" w:rsidRDefault="000B6FD5" w:rsidP="0091151F">
      <w:pPr>
        <w:pStyle w:val="20"/>
        <w:framePr w:w="9616" w:h="15286" w:hRule="exact" w:wrap="none" w:vAnchor="page" w:hAnchor="page" w:x="1621" w:y="541"/>
        <w:numPr>
          <w:ilvl w:val="0"/>
          <w:numId w:val="1"/>
        </w:numPr>
        <w:shd w:val="clear" w:color="auto" w:fill="auto"/>
        <w:tabs>
          <w:tab w:val="left" w:pos="1313"/>
        </w:tabs>
        <w:spacing w:before="0" w:after="0" w:line="322" w:lineRule="exact"/>
        <w:ind w:firstLine="760"/>
      </w:pPr>
      <w:r>
        <w:t xml:space="preserve">оператор/провайдер телекомунікацій забезпечує можливість використання доступу до Інтернету для персоналу та відвідувачів закладів соціальної інфраструктури за допомогою мережі </w:t>
      </w:r>
      <w:r>
        <w:rPr>
          <w:lang w:val="en-US" w:eastAsia="en-US" w:bidi="en-US"/>
        </w:rPr>
        <w:t>Wi</w:t>
      </w:r>
      <w:r w:rsidRPr="00E62FA9">
        <w:rPr>
          <w:lang w:val="ru-RU" w:eastAsia="en-US" w:bidi="en-US"/>
        </w:rPr>
        <w:t>-</w:t>
      </w:r>
      <w:r>
        <w:rPr>
          <w:lang w:val="en-US" w:eastAsia="en-US" w:bidi="en-US"/>
        </w:rPr>
        <w:t>Fi</w:t>
      </w:r>
      <w:r w:rsidRPr="00E62FA9">
        <w:rPr>
          <w:lang w:val="ru-RU" w:eastAsia="en-US" w:bidi="en-US"/>
        </w:rPr>
        <w:t xml:space="preserve"> </w:t>
      </w:r>
      <w:r w:rsidR="00B06E1C">
        <w:t>у частотах 2,4 та 5 ГГц</w:t>
      </w:r>
      <w:r>
        <w:t>.</w:t>
      </w:r>
    </w:p>
    <w:p w:rsidR="00414DA1" w:rsidRDefault="00414DA1">
      <w:pPr>
        <w:rPr>
          <w:sz w:val="2"/>
          <w:szCs w:val="2"/>
        </w:rPr>
      </w:pPr>
    </w:p>
    <w:sectPr w:rsidR="00414DA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0F5" w:rsidRDefault="001630F5">
      <w:r>
        <w:separator/>
      </w:r>
    </w:p>
  </w:endnote>
  <w:endnote w:type="continuationSeparator" w:id="0">
    <w:p w:rsidR="001630F5" w:rsidRDefault="0016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0F5" w:rsidRDefault="001630F5"/>
  </w:footnote>
  <w:footnote w:type="continuationSeparator" w:id="0">
    <w:p w:rsidR="001630F5" w:rsidRDefault="00163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693"/>
    <w:multiLevelType w:val="multilevel"/>
    <w:tmpl w:val="96E65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14DA1"/>
    <w:rsid w:val="000B6FD5"/>
    <w:rsid w:val="001630F5"/>
    <w:rsid w:val="003D162F"/>
    <w:rsid w:val="00414DA1"/>
    <w:rsid w:val="006114E7"/>
    <w:rsid w:val="00636CBC"/>
    <w:rsid w:val="0091151F"/>
    <w:rsid w:val="009461D2"/>
    <w:rsid w:val="009C1E23"/>
    <w:rsid w:val="00B06E1C"/>
    <w:rsid w:val="00E62FA9"/>
    <w:rsid w:val="00FF0D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BFA0E-B6F9-460C-9F38-23FDC9A4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ий текст (3) + Не напівжирни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30">
    <w:name w:val="Основний текст (3)"/>
    <w:basedOn w:val="a"/>
    <w:link w:val="3"/>
    <w:pPr>
      <w:shd w:val="clear" w:color="auto" w:fill="FFFFFF"/>
      <w:spacing w:after="420" w:line="370" w:lineRule="exact"/>
      <w:jc w:val="center"/>
    </w:pPr>
    <w:rPr>
      <w:rFonts w:ascii="Times New Roman" w:eastAsia="Times New Roman" w:hAnsi="Times New Roman" w:cs="Times New Roman"/>
      <w:b/>
      <w:bCs/>
      <w:sz w:val="28"/>
      <w:szCs w:val="28"/>
    </w:rPr>
  </w:style>
  <w:style w:type="paragraph" w:customStyle="1" w:styleId="20">
    <w:name w:val="Основний текст (2)"/>
    <w:basedOn w:val="a"/>
    <w:link w:val="2"/>
    <w:pPr>
      <w:shd w:val="clear" w:color="auto" w:fill="FFFFFF"/>
      <w:spacing w:before="420" w:after="180" w:line="37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MNS</cp:lastModifiedBy>
  <cp:revision>4</cp:revision>
  <dcterms:created xsi:type="dcterms:W3CDTF">2021-08-27T05:18:00Z</dcterms:created>
  <dcterms:modified xsi:type="dcterms:W3CDTF">2021-08-27T11:50:00Z</dcterms:modified>
</cp:coreProperties>
</file>